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27" w:rsidRPr="005A1C27" w:rsidRDefault="005A1C27" w:rsidP="005A1C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C27">
        <w:rPr>
          <w:rFonts w:ascii="Times New Roman" w:hAnsi="Times New Roman" w:cs="Times New Roman"/>
          <w:b/>
          <w:sz w:val="28"/>
          <w:szCs w:val="28"/>
        </w:rPr>
        <w:t>Индивидуальное задание. Определение оптимального объема производства.</w:t>
      </w:r>
    </w:p>
    <w:p w:rsidR="005A1C27" w:rsidRPr="005A1C27" w:rsidRDefault="005A1C27" w:rsidP="005A1C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C27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</w:p>
    <w:p w:rsidR="005A1C27" w:rsidRDefault="005A1C27" w:rsidP="005A1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1C27">
        <w:rPr>
          <w:rFonts w:ascii="Times New Roman" w:hAnsi="Times New Roman" w:cs="Times New Roman"/>
          <w:sz w:val="28"/>
          <w:szCs w:val="28"/>
        </w:rPr>
        <w:t>Функция общих и</w:t>
      </w:r>
      <w:r>
        <w:rPr>
          <w:rFonts w:ascii="Times New Roman" w:hAnsi="Times New Roman" w:cs="Times New Roman"/>
          <w:sz w:val="28"/>
          <w:szCs w:val="28"/>
        </w:rPr>
        <w:t xml:space="preserve">здержек предприятия имеет вид: </w:t>
      </w:r>
    </w:p>
    <w:p w:rsidR="005A1C27" w:rsidRDefault="005A1C27" w:rsidP="005A1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ТС=4500+250</w:t>
      </w:r>
      <w:r>
        <w:rPr>
          <w:rFonts w:ascii="Times New Roman" w:hAnsi="Times New Roman" w:cs="Times New Roman"/>
          <w:sz w:val="28"/>
          <w:szCs w:val="28"/>
          <w:lang w:val="en-US"/>
        </w:rPr>
        <w:t>Q-4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5Q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+0</w:t>
      </w:r>
      <w:r>
        <w:rPr>
          <w:rFonts w:ascii="Times New Roman" w:hAnsi="Times New Roman" w:cs="Times New Roman"/>
          <w:sz w:val="28"/>
          <w:szCs w:val="28"/>
        </w:rPr>
        <w:t>,03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5A1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617" w:rsidRDefault="005A1C27" w:rsidP="005A1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1C27">
        <w:rPr>
          <w:rFonts w:ascii="Times New Roman" w:hAnsi="Times New Roman" w:cs="Times New Roman"/>
          <w:sz w:val="28"/>
          <w:szCs w:val="28"/>
        </w:rPr>
        <w:t>Определить алгебраические выражение для FC, VC, ATC, AFC, AVC, MC и построить графики 4-х последних разновидностей издержек при выпуске: Q = 10; 20; … 150. Определить оптимальный объем производства (графическим способом, расчетным путем и сделать сравнительный анализ).</w:t>
      </w:r>
    </w:p>
    <w:p w:rsidR="005A1C27" w:rsidRDefault="005A1C27" w:rsidP="005A1C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C2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5A1C27" w:rsidRDefault="005A1C27" w:rsidP="005A1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определим алгебраические выражения для издержек. Они рассчитываются по следующим формулам:</w:t>
      </w:r>
    </w:p>
    <w:p w:rsidR="005A1C27" w:rsidRDefault="005A1C27" w:rsidP="005A1C2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Постоянные издержки: </w:t>
      </w:r>
      <w:r>
        <w:rPr>
          <w:rFonts w:ascii="Times New Roman" w:hAnsi="Times New Roman" w:cs="Times New Roman"/>
          <w:sz w:val="28"/>
          <w:szCs w:val="28"/>
          <w:lang w:val="en-US"/>
        </w:rPr>
        <w:t>FC=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</w:t>
      </w:r>
      <w:proofErr w:type="spellEnd"/>
    </w:p>
    <w:p w:rsidR="005A1C27" w:rsidRPr="005A1C27" w:rsidRDefault="005A1C27" w:rsidP="005A1C2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FC=4500</w:t>
      </w:r>
    </w:p>
    <w:p w:rsidR="005A1C27" w:rsidRDefault="005A1C27" w:rsidP="005A1C2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Переменные издержки </w:t>
      </w:r>
      <w:r>
        <w:rPr>
          <w:rFonts w:ascii="Times New Roman" w:hAnsi="Times New Roman" w:cs="Times New Roman"/>
          <w:sz w:val="28"/>
          <w:szCs w:val="28"/>
          <w:lang w:val="en-US"/>
        </w:rPr>
        <w:t>VC = TC-FC</w:t>
      </w:r>
      <w:r>
        <w:rPr>
          <w:rFonts w:ascii="Times New Roman" w:hAnsi="Times New Roman"/>
          <w:sz w:val="28"/>
        </w:rPr>
        <w:t>;</w:t>
      </w:r>
    </w:p>
    <w:p w:rsidR="005A1C27" w:rsidRPr="005A1C27" w:rsidRDefault="005A1C27" w:rsidP="005A1C2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VC=</w:t>
      </w:r>
      <w:r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  <w:lang w:val="en-US"/>
        </w:rPr>
        <w:t>Q-4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5Q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+0</w:t>
      </w:r>
      <w:r>
        <w:rPr>
          <w:rFonts w:ascii="Times New Roman" w:hAnsi="Times New Roman" w:cs="Times New Roman"/>
          <w:sz w:val="28"/>
          <w:szCs w:val="28"/>
        </w:rPr>
        <w:t>,03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3</w:t>
      </w:r>
    </w:p>
    <w:p w:rsidR="005A1C27" w:rsidRDefault="005A1C27" w:rsidP="005A1C27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Средние общие издержки </w:t>
      </w:r>
      <w:r>
        <w:rPr>
          <w:rFonts w:ascii="Times New Roman" w:hAnsi="Times New Roman"/>
          <w:sz w:val="28"/>
          <w:lang w:val="en-US"/>
        </w:rPr>
        <w:t>ATC=TC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  <w:lang w:val="en-US"/>
        </w:rPr>
        <w:t>Q=AVC+AFC</w:t>
      </w:r>
      <w:r>
        <w:rPr>
          <w:rFonts w:ascii="Times New Roman" w:hAnsi="Times New Roman"/>
          <w:sz w:val="28"/>
        </w:rPr>
        <w:t>;</w:t>
      </w:r>
    </w:p>
    <w:p w:rsidR="005A1C27" w:rsidRPr="005A1C27" w:rsidRDefault="005A1C27" w:rsidP="005A1C2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/>
          <w:sz w:val="28"/>
          <w:lang w:val="en-US"/>
        </w:rPr>
        <w:t>ATC=4500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  <w:lang w:val="en-US"/>
        </w:rPr>
        <w:t>Q+250-4</w:t>
      </w:r>
      <w:proofErr w:type="gramStart"/>
      <w:r>
        <w:rPr>
          <w:rFonts w:ascii="Times New Roman" w:hAnsi="Times New Roman"/>
          <w:sz w:val="28"/>
        </w:rPr>
        <w:t>,5</w:t>
      </w:r>
      <w:r>
        <w:rPr>
          <w:rFonts w:ascii="Times New Roman" w:hAnsi="Times New Roman"/>
          <w:sz w:val="28"/>
          <w:lang w:val="en-US"/>
        </w:rPr>
        <w:t>Q</w:t>
      </w:r>
      <w:proofErr w:type="gramEnd"/>
      <w:r>
        <w:rPr>
          <w:rFonts w:ascii="Times New Roman" w:hAnsi="Times New Roman"/>
          <w:sz w:val="28"/>
          <w:lang w:val="en-US"/>
        </w:rPr>
        <w:t>+0</w:t>
      </w:r>
      <w:r>
        <w:rPr>
          <w:rFonts w:ascii="Times New Roman" w:hAnsi="Times New Roman"/>
          <w:sz w:val="28"/>
        </w:rPr>
        <w:t>,03</w:t>
      </w:r>
      <w:r>
        <w:rPr>
          <w:rFonts w:ascii="Times New Roman" w:hAnsi="Times New Roman"/>
          <w:sz w:val="28"/>
          <w:lang w:val="en-US"/>
        </w:rPr>
        <w:t>Q</w:t>
      </w:r>
      <w:r>
        <w:rPr>
          <w:rFonts w:ascii="Times New Roman" w:hAnsi="Times New Roman"/>
          <w:sz w:val="28"/>
          <w:vertAlign w:val="superscript"/>
          <w:lang w:val="en-US"/>
        </w:rPr>
        <w:t>2</w:t>
      </w:r>
    </w:p>
    <w:p w:rsidR="005A1C27" w:rsidRDefault="005A1C27" w:rsidP="005A1C2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A1C27">
        <w:rPr>
          <w:rFonts w:ascii="Times New Roman" w:hAnsi="Times New Roman" w:cs="Times New Roman"/>
          <w:sz w:val="28"/>
          <w:szCs w:val="28"/>
        </w:rPr>
        <w:t xml:space="preserve">редние постоянные издержки </w:t>
      </w:r>
      <w:r w:rsidRPr="005A1C27">
        <w:rPr>
          <w:rFonts w:ascii="Times New Roman" w:hAnsi="Times New Roman" w:cs="Times New Roman"/>
          <w:sz w:val="28"/>
          <w:szCs w:val="28"/>
          <w:lang w:val="en-US"/>
        </w:rPr>
        <w:t>AFC=FC</w:t>
      </w:r>
      <w:r w:rsidRPr="005A1C27">
        <w:rPr>
          <w:rFonts w:ascii="Times New Roman" w:hAnsi="Times New Roman" w:cs="Times New Roman"/>
          <w:sz w:val="28"/>
          <w:szCs w:val="28"/>
        </w:rPr>
        <w:t>/</w:t>
      </w:r>
      <w:r w:rsidRPr="005A1C2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A1C27">
        <w:rPr>
          <w:rFonts w:ascii="Times New Roman" w:hAnsi="Times New Roman"/>
          <w:sz w:val="28"/>
        </w:rPr>
        <w:t>;</w:t>
      </w:r>
    </w:p>
    <w:p w:rsidR="005A1C27" w:rsidRPr="005A1C27" w:rsidRDefault="005A1C27" w:rsidP="005A1C2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1C27">
        <w:rPr>
          <w:rFonts w:ascii="Times New Roman" w:hAnsi="Times New Roman" w:cs="Times New Roman"/>
          <w:sz w:val="28"/>
          <w:szCs w:val="28"/>
          <w:lang w:val="en-US"/>
        </w:rPr>
        <w:t>AFC=</w:t>
      </w:r>
      <w:r>
        <w:rPr>
          <w:rFonts w:ascii="Times New Roman" w:hAnsi="Times New Roman"/>
          <w:sz w:val="28"/>
          <w:lang w:val="en-US"/>
        </w:rPr>
        <w:t>4500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  <w:lang w:val="en-US"/>
        </w:rPr>
        <w:t>Q</w:t>
      </w:r>
    </w:p>
    <w:p w:rsidR="005A1C27" w:rsidRDefault="005A1C27" w:rsidP="005A1C2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Средние переменные издержки </w:t>
      </w:r>
      <w:r>
        <w:rPr>
          <w:rFonts w:ascii="Times New Roman" w:hAnsi="Times New Roman"/>
          <w:sz w:val="28"/>
          <w:lang w:val="en-US"/>
        </w:rPr>
        <w:t>AVC= VC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  <w:lang w:val="en-US"/>
        </w:rPr>
        <w:t>Q</w:t>
      </w:r>
      <w:r>
        <w:rPr>
          <w:rFonts w:ascii="Times New Roman" w:hAnsi="Times New Roman"/>
          <w:sz w:val="28"/>
        </w:rPr>
        <w:t>;</w:t>
      </w:r>
    </w:p>
    <w:p w:rsidR="005A1C27" w:rsidRPr="005A1C27" w:rsidRDefault="005A1C27" w:rsidP="005A1C2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AVC=250-4</w:t>
      </w:r>
      <w:proofErr w:type="gramStart"/>
      <w:r>
        <w:rPr>
          <w:rFonts w:ascii="Times New Roman" w:hAnsi="Times New Roman"/>
          <w:sz w:val="28"/>
        </w:rPr>
        <w:t>,5</w:t>
      </w:r>
      <w:r>
        <w:rPr>
          <w:rFonts w:ascii="Times New Roman" w:hAnsi="Times New Roman"/>
          <w:sz w:val="28"/>
          <w:lang w:val="en-US"/>
        </w:rPr>
        <w:t>Q</w:t>
      </w:r>
      <w:proofErr w:type="gramEnd"/>
      <w:r>
        <w:rPr>
          <w:rFonts w:ascii="Times New Roman" w:hAnsi="Times New Roman"/>
          <w:sz w:val="28"/>
          <w:lang w:val="en-US"/>
        </w:rPr>
        <w:t>+0</w:t>
      </w:r>
      <w:r>
        <w:rPr>
          <w:rFonts w:ascii="Times New Roman" w:hAnsi="Times New Roman"/>
          <w:sz w:val="28"/>
        </w:rPr>
        <w:t>,03</w:t>
      </w:r>
      <w:r>
        <w:rPr>
          <w:rFonts w:ascii="Times New Roman" w:hAnsi="Times New Roman"/>
          <w:sz w:val="28"/>
          <w:lang w:val="en-US"/>
        </w:rPr>
        <w:t>Q</w:t>
      </w:r>
      <w:r>
        <w:rPr>
          <w:rFonts w:ascii="Times New Roman" w:hAnsi="Times New Roman"/>
          <w:sz w:val="28"/>
          <w:vertAlign w:val="superscript"/>
          <w:lang w:val="en-US"/>
        </w:rPr>
        <w:t>2</w:t>
      </w:r>
    </w:p>
    <w:p w:rsidR="005A1C27" w:rsidRDefault="005A1C27" w:rsidP="005A1C2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Предельные издержки МС=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dTC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=(TC)'</w:t>
      </w:r>
      <w:r>
        <w:rPr>
          <w:rFonts w:ascii="Times New Roman" w:hAnsi="Times New Roman"/>
          <w:sz w:val="28"/>
        </w:rPr>
        <w:t>.</w:t>
      </w:r>
    </w:p>
    <w:p w:rsidR="005A1C27" w:rsidRDefault="005A1C27" w:rsidP="005A1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MC=250-9Q+</w:t>
      </w:r>
      <w:r w:rsidR="008E124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E124D">
        <w:rPr>
          <w:rFonts w:ascii="Times New Roman" w:hAnsi="Times New Roman" w:cs="Times New Roman"/>
          <w:sz w:val="28"/>
          <w:szCs w:val="28"/>
        </w:rPr>
        <w:t>,09</w:t>
      </w:r>
      <w:r w:rsidR="008E124D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8E124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8E124D" w:rsidRDefault="008E124D" w:rsidP="005A1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рассчитаем значение данных видов издержек при разных объемах производства. Расчет представим в таблице.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68"/>
        <w:gridCol w:w="1368"/>
        <w:gridCol w:w="1367"/>
        <w:gridCol w:w="1367"/>
        <w:gridCol w:w="1367"/>
        <w:gridCol w:w="1367"/>
        <w:gridCol w:w="1367"/>
      </w:tblGrid>
      <w:tr w:rsidR="007E3C07" w:rsidRPr="007E3C07" w:rsidTr="005E714F">
        <w:trPr>
          <w:trHeight w:val="57"/>
          <w:tblHeader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FC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VC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ATC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AFC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AVC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MC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138,25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158,91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</w:tr>
      <w:tr w:rsidR="007E3C07" w:rsidRPr="007E3C07" w:rsidTr="007E3C07">
        <w:trPr>
          <w:trHeight w:val="57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C07" w:rsidRPr="007E3C07" w:rsidRDefault="007E3C07" w:rsidP="007E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</w:tr>
    </w:tbl>
    <w:p w:rsidR="007E3C07" w:rsidRDefault="007E3C07" w:rsidP="005A1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24DE" w:rsidRDefault="000D24DE" w:rsidP="005A1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Представим графики </w:t>
      </w:r>
      <w:r w:rsidRPr="005A1C27">
        <w:rPr>
          <w:rFonts w:ascii="Times New Roman" w:hAnsi="Times New Roman" w:cs="Times New Roman"/>
          <w:sz w:val="28"/>
          <w:szCs w:val="28"/>
        </w:rPr>
        <w:t>ATC, AFC, AVC, MC</w:t>
      </w:r>
      <w:r>
        <w:rPr>
          <w:rFonts w:ascii="Times New Roman" w:hAnsi="Times New Roman" w:cs="Times New Roman"/>
          <w:sz w:val="28"/>
          <w:szCs w:val="28"/>
        </w:rPr>
        <w:t xml:space="preserve"> на рисунке 1.</w:t>
      </w:r>
    </w:p>
    <w:p w:rsidR="000D24DE" w:rsidRDefault="000D24DE" w:rsidP="005A1C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4DE" w:rsidRDefault="000D24DE" w:rsidP="000D24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FB94D3" wp14:editId="48051EA1">
            <wp:extent cx="5940425" cy="3879148"/>
            <wp:effectExtent l="0" t="0" r="3175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D24DE" w:rsidRDefault="000D24DE" w:rsidP="000D24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– Издержки предприятия</w:t>
      </w:r>
    </w:p>
    <w:p w:rsidR="000D24DE" w:rsidRDefault="000D24DE" w:rsidP="000D24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24DE" w:rsidRDefault="000D24DE" w:rsidP="000D2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Оптимальным объемом производства является такой объем производства, при котором средние общие издержки (АТС) минимальны. Графически такой объем можно найти в точке пересечения средних общих издержек и предельных издержек (МС). Согласно рисунку 1, оптимальный объем производства является </w:t>
      </w:r>
      <w:r>
        <w:rPr>
          <w:rFonts w:ascii="Times New Roman" w:hAnsi="Times New Roman" w:cs="Times New Roman"/>
          <w:sz w:val="28"/>
          <w:szCs w:val="28"/>
          <w:lang w:val="en-US"/>
        </w:rPr>
        <w:t>Q≈85.</w:t>
      </w:r>
    </w:p>
    <w:p w:rsidR="000D24DE" w:rsidRDefault="000D24DE" w:rsidP="000D2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Теперь найдем оптимальный объем производства расчетным путем. И сравним получившиеся значения. Для этого необходимо прировнять </w:t>
      </w:r>
      <w:r w:rsidR="00A36B22">
        <w:rPr>
          <w:rFonts w:ascii="Times New Roman" w:hAnsi="Times New Roman" w:cs="Times New Roman"/>
          <w:sz w:val="28"/>
          <w:szCs w:val="28"/>
        </w:rPr>
        <w:t>функции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средних общих издержек (АТС) и предельных издержек (МС).</w:t>
      </w:r>
    </w:p>
    <w:p w:rsidR="000D24DE" w:rsidRDefault="000D24DE" w:rsidP="000D2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АТС=МС</w:t>
      </w:r>
    </w:p>
    <w:p w:rsidR="000D24DE" w:rsidRDefault="000D24DE" w:rsidP="000D2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lang w:val="en-US"/>
        </w:rPr>
        <w:t>4500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  <w:lang w:val="en-US"/>
        </w:rPr>
        <w:t>Q+250-4</w:t>
      </w:r>
      <w:proofErr w:type="gramStart"/>
      <w:r>
        <w:rPr>
          <w:rFonts w:ascii="Times New Roman" w:hAnsi="Times New Roman"/>
          <w:sz w:val="28"/>
        </w:rPr>
        <w:t>,5</w:t>
      </w:r>
      <w:r>
        <w:rPr>
          <w:rFonts w:ascii="Times New Roman" w:hAnsi="Times New Roman"/>
          <w:sz w:val="28"/>
          <w:lang w:val="en-US"/>
        </w:rPr>
        <w:t>Q</w:t>
      </w:r>
      <w:proofErr w:type="gramEnd"/>
      <w:r>
        <w:rPr>
          <w:rFonts w:ascii="Times New Roman" w:hAnsi="Times New Roman"/>
          <w:sz w:val="28"/>
          <w:lang w:val="en-US"/>
        </w:rPr>
        <w:t>+0</w:t>
      </w:r>
      <w:r>
        <w:rPr>
          <w:rFonts w:ascii="Times New Roman" w:hAnsi="Times New Roman"/>
          <w:sz w:val="28"/>
        </w:rPr>
        <w:t>,03</w:t>
      </w:r>
      <w:r>
        <w:rPr>
          <w:rFonts w:ascii="Times New Roman" w:hAnsi="Times New Roman"/>
          <w:sz w:val="28"/>
          <w:lang w:val="en-US"/>
        </w:rPr>
        <w:t>Q</w:t>
      </w:r>
      <w:r>
        <w:rPr>
          <w:rFonts w:ascii="Times New Roman" w:hAnsi="Times New Roman"/>
          <w:sz w:val="28"/>
          <w:vertAlign w:val="superscript"/>
          <w:lang w:val="en-US"/>
        </w:rPr>
        <w:t>2</w:t>
      </w:r>
      <w:r>
        <w:rPr>
          <w:rFonts w:ascii="Times New Roman" w:hAnsi="Times New Roman"/>
          <w:sz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250-9Q+0</w:t>
      </w:r>
      <w:r>
        <w:rPr>
          <w:rFonts w:ascii="Times New Roman" w:hAnsi="Times New Roman" w:cs="Times New Roman"/>
          <w:sz w:val="28"/>
          <w:szCs w:val="28"/>
        </w:rPr>
        <w:t>,09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</w:p>
    <w:p w:rsidR="000D24DE" w:rsidRDefault="000D24DE" w:rsidP="000D2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lang w:val="en-US"/>
        </w:rPr>
        <w:t>4500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  <w:lang w:val="en-US"/>
        </w:rPr>
        <w:t>Q+250-4</w:t>
      </w:r>
      <w:proofErr w:type="gramStart"/>
      <w:r>
        <w:rPr>
          <w:rFonts w:ascii="Times New Roman" w:hAnsi="Times New Roman"/>
          <w:sz w:val="28"/>
        </w:rPr>
        <w:t>,5</w:t>
      </w:r>
      <w:r>
        <w:rPr>
          <w:rFonts w:ascii="Times New Roman" w:hAnsi="Times New Roman"/>
          <w:sz w:val="28"/>
          <w:lang w:val="en-US"/>
        </w:rPr>
        <w:t>Q</w:t>
      </w:r>
      <w:proofErr w:type="gramEnd"/>
      <w:r>
        <w:rPr>
          <w:rFonts w:ascii="Times New Roman" w:hAnsi="Times New Roman"/>
          <w:sz w:val="28"/>
          <w:lang w:val="en-US"/>
        </w:rPr>
        <w:t>+0</w:t>
      </w:r>
      <w:r>
        <w:rPr>
          <w:rFonts w:ascii="Times New Roman" w:hAnsi="Times New Roman"/>
          <w:sz w:val="28"/>
        </w:rPr>
        <w:t>,03</w:t>
      </w:r>
      <w:r>
        <w:rPr>
          <w:rFonts w:ascii="Times New Roman" w:hAnsi="Times New Roman"/>
          <w:sz w:val="28"/>
          <w:lang w:val="en-US"/>
        </w:rPr>
        <w:t>Q</w:t>
      </w:r>
      <w:r>
        <w:rPr>
          <w:rFonts w:ascii="Times New Roman" w:hAnsi="Times New Roman"/>
          <w:sz w:val="28"/>
          <w:vertAlign w:val="superscript"/>
          <w:lang w:val="en-US"/>
        </w:rPr>
        <w:t>2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250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9Q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,09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=0</w:t>
      </w:r>
    </w:p>
    <w:p w:rsidR="000D24DE" w:rsidRDefault="00E63F7B" w:rsidP="000D24D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4500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  <w:lang w:val="en-US"/>
        </w:rPr>
        <w:t>Q</w:t>
      </w:r>
      <w:r>
        <w:rPr>
          <w:rFonts w:ascii="Times New Roman" w:hAnsi="Times New Roman"/>
          <w:sz w:val="28"/>
        </w:rPr>
        <w:t>+</w:t>
      </w:r>
      <w:r>
        <w:rPr>
          <w:rFonts w:ascii="Times New Roman" w:hAnsi="Times New Roman"/>
          <w:sz w:val="28"/>
          <w:lang w:val="en-US"/>
        </w:rPr>
        <w:t>4</w:t>
      </w:r>
      <w:proofErr w:type="gramStart"/>
      <w:r>
        <w:rPr>
          <w:rFonts w:ascii="Times New Roman" w:hAnsi="Times New Roman"/>
          <w:sz w:val="28"/>
        </w:rPr>
        <w:t>,5</w:t>
      </w:r>
      <w:r>
        <w:rPr>
          <w:rFonts w:ascii="Times New Roman" w:hAnsi="Times New Roman"/>
          <w:sz w:val="28"/>
          <w:lang w:val="en-US"/>
        </w:rPr>
        <w:t>Q</w:t>
      </w:r>
      <w:proofErr w:type="gramEnd"/>
      <w:r>
        <w:rPr>
          <w:rFonts w:ascii="Times New Roman" w:hAnsi="Times New Roman"/>
          <w:sz w:val="28"/>
        </w:rPr>
        <w:t>-0,06</w:t>
      </w:r>
      <w:r w:rsidRPr="00E63F7B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Q</w:t>
      </w:r>
      <w:r>
        <w:rPr>
          <w:rFonts w:ascii="Times New Roman" w:hAnsi="Times New Roman"/>
          <w:sz w:val="28"/>
          <w:vertAlign w:val="superscript"/>
          <w:lang w:val="en-US"/>
        </w:rPr>
        <w:t>2</w:t>
      </w:r>
      <w:r>
        <w:rPr>
          <w:rFonts w:ascii="Times New Roman" w:hAnsi="Times New Roman"/>
          <w:sz w:val="28"/>
        </w:rPr>
        <w:t>=0</w:t>
      </w:r>
    </w:p>
    <w:p w:rsidR="00E63F7B" w:rsidRDefault="00E63F7B" w:rsidP="000D2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Q≈85</w:t>
      </w:r>
      <w:r>
        <w:rPr>
          <w:rFonts w:ascii="Times New Roman" w:hAnsi="Times New Roman" w:cs="Times New Roman"/>
          <w:sz w:val="28"/>
          <w:szCs w:val="28"/>
        </w:rPr>
        <w:t>,306</w:t>
      </w:r>
    </w:p>
    <w:p w:rsidR="00E63F7B" w:rsidRPr="00E63F7B" w:rsidRDefault="00E63F7B" w:rsidP="000D24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погрешность в определении оптимального объема производства графическим и расчетным путем составит ≈ 0,36% (85,306/85*100%-100%).</w:t>
      </w:r>
    </w:p>
    <w:sectPr w:rsidR="00E63F7B" w:rsidRPr="00E6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78"/>
    <w:rsid w:val="000D24DE"/>
    <w:rsid w:val="00536617"/>
    <w:rsid w:val="005A1C27"/>
    <w:rsid w:val="005E714F"/>
    <w:rsid w:val="007E3C07"/>
    <w:rsid w:val="008E124D"/>
    <w:rsid w:val="00A36B22"/>
    <w:rsid w:val="00E15F78"/>
    <w:rsid w:val="00E6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C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C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Таблица!$F$4</c:f>
              <c:strCache>
                <c:ptCount val="1"/>
                <c:pt idx="0">
                  <c:v>ATC</c:v>
                </c:pt>
              </c:strCache>
            </c:strRef>
          </c:tx>
          <c:cat>
            <c:numRef>
              <c:f>Таблица!$C$5:$C$19</c:f>
              <c:numCache>
                <c:formatCode>General</c:formatCode>
                <c:ptCount val="15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  <c:pt idx="9">
                  <c:v>100</c:v>
                </c:pt>
                <c:pt idx="10">
                  <c:v>110</c:v>
                </c:pt>
                <c:pt idx="11">
                  <c:v>120</c:v>
                </c:pt>
                <c:pt idx="12">
                  <c:v>130</c:v>
                </c:pt>
                <c:pt idx="13">
                  <c:v>140</c:v>
                </c:pt>
                <c:pt idx="14">
                  <c:v>150</c:v>
                </c:pt>
              </c:numCache>
            </c:numRef>
          </c:cat>
          <c:val>
            <c:numRef>
              <c:f>Таблица!$F$5:$F$19</c:f>
              <c:numCache>
                <c:formatCode>0.00</c:formatCode>
                <c:ptCount val="15"/>
                <c:pt idx="0">
                  <c:v>658</c:v>
                </c:pt>
                <c:pt idx="1">
                  <c:v>397</c:v>
                </c:pt>
                <c:pt idx="2">
                  <c:v>292</c:v>
                </c:pt>
                <c:pt idx="3">
                  <c:v>230.5</c:v>
                </c:pt>
                <c:pt idx="4">
                  <c:v>190</c:v>
                </c:pt>
                <c:pt idx="5">
                  <c:v>163</c:v>
                </c:pt>
                <c:pt idx="6">
                  <c:v>146.28571428571428</c:v>
                </c:pt>
                <c:pt idx="7">
                  <c:v>138.25</c:v>
                </c:pt>
                <c:pt idx="8">
                  <c:v>138</c:v>
                </c:pt>
                <c:pt idx="9">
                  <c:v>145</c:v>
                </c:pt>
                <c:pt idx="10">
                  <c:v>158.90909090909091</c:v>
                </c:pt>
                <c:pt idx="11">
                  <c:v>179.5</c:v>
                </c:pt>
                <c:pt idx="12">
                  <c:v>206.61538461538461</c:v>
                </c:pt>
                <c:pt idx="13">
                  <c:v>240.14285714285714</c:v>
                </c:pt>
                <c:pt idx="14">
                  <c:v>280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Таблица!$G$4</c:f>
              <c:strCache>
                <c:ptCount val="1"/>
                <c:pt idx="0">
                  <c:v>AFC</c:v>
                </c:pt>
              </c:strCache>
            </c:strRef>
          </c:tx>
          <c:cat>
            <c:numRef>
              <c:f>Таблица!$C$5:$C$19</c:f>
              <c:numCache>
                <c:formatCode>General</c:formatCode>
                <c:ptCount val="15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  <c:pt idx="9">
                  <c:v>100</c:v>
                </c:pt>
                <c:pt idx="10">
                  <c:v>110</c:v>
                </c:pt>
                <c:pt idx="11">
                  <c:v>120</c:v>
                </c:pt>
                <c:pt idx="12">
                  <c:v>130</c:v>
                </c:pt>
                <c:pt idx="13">
                  <c:v>140</c:v>
                </c:pt>
                <c:pt idx="14">
                  <c:v>150</c:v>
                </c:pt>
              </c:numCache>
            </c:numRef>
          </c:cat>
          <c:val>
            <c:numRef>
              <c:f>Таблица!$G$5:$G$19</c:f>
              <c:numCache>
                <c:formatCode>0.00</c:formatCode>
                <c:ptCount val="15"/>
                <c:pt idx="0">
                  <c:v>450</c:v>
                </c:pt>
                <c:pt idx="1">
                  <c:v>225</c:v>
                </c:pt>
                <c:pt idx="2">
                  <c:v>150</c:v>
                </c:pt>
                <c:pt idx="3">
                  <c:v>112.5</c:v>
                </c:pt>
                <c:pt idx="4">
                  <c:v>90</c:v>
                </c:pt>
                <c:pt idx="5">
                  <c:v>75</c:v>
                </c:pt>
                <c:pt idx="6">
                  <c:v>64.285714285714292</c:v>
                </c:pt>
                <c:pt idx="7">
                  <c:v>56.25</c:v>
                </c:pt>
                <c:pt idx="8">
                  <c:v>50</c:v>
                </c:pt>
                <c:pt idx="9">
                  <c:v>45</c:v>
                </c:pt>
                <c:pt idx="10">
                  <c:v>40.909090909090907</c:v>
                </c:pt>
                <c:pt idx="11">
                  <c:v>37.5</c:v>
                </c:pt>
                <c:pt idx="12">
                  <c:v>34.615384615384613</c:v>
                </c:pt>
                <c:pt idx="13">
                  <c:v>32.142857142857146</c:v>
                </c:pt>
                <c:pt idx="14">
                  <c:v>30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Таблица!$H$4</c:f>
              <c:strCache>
                <c:ptCount val="1"/>
                <c:pt idx="0">
                  <c:v>AVC</c:v>
                </c:pt>
              </c:strCache>
            </c:strRef>
          </c:tx>
          <c:cat>
            <c:numRef>
              <c:f>Таблица!$C$5:$C$19</c:f>
              <c:numCache>
                <c:formatCode>General</c:formatCode>
                <c:ptCount val="15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  <c:pt idx="9">
                  <c:v>100</c:v>
                </c:pt>
                <c:pt idx="10">
                  <c:v>110</c:v>
                </c:pt>
                <c:pt idx="11">
                  <c:v>120</c:v>
                </c:pt>
                <c:pt idx="12">
                  <c:v>130</c:v>
                </c:pt>
                <c:pt idx="13">
                  <c:v>140</c:v>
                </c:pt>
                <c:pt idx="14">
                  <c:v>150</c:v>
                </c:pt>
              </c:numCache>
            </c:numRef>
          </c:cat>
          <c:val>
            <c:numRef>
              <c:f>Таблица!$H$5:$H$19</c:f>
              <c:numCache>
                <c:formatCode>0</c:formatCode>
                <c:ptCount val="15"/>
                <c:pt idx="0">
                  <c:v>208</c:v>
                </c:pt>
                <c:pt idx="1">
                  <c:v>172</c:v>
                </c:pt>
                <c:pt idx="2">
                  <c:v>142</c:v>
                </c:pt>
                <c:pt idx="3">
                  <c:v>118</c:v>
                </c:pt>
                <c:pt idx="4">
                  <c:v>100</c:v>
                </c:pt>
                <c:pt idx="5">
                  <c:v>88</c:v>
                </c:pt>
                <c:pt idx="6">
                  <c:v>82</c:v>
                </c:pt>
                <c:pt idx="7">
                  <c:v>82</c:v>
                </c:pt>
                <c:pt idx="8">
                  <c:v>88</c:v>
                </c:pt>
                <c:pt idx="9">
                  <c:v>100</c:v>
                </c:pt>
                <c:pt idx="10">
                  <c:v>118</c:v>
                </c:pt>
                <c:pt idx="11">
                  <c:v>142</c:v>
                </c:pt>
                <c:pt idx="12">
                  <c:v>172</c:v>
                </c:pt>
                <c:pt idx="13">
                  <c:v>208</c:v>
                </c:pt>
                <c:pt idx="14">
                  <c:v>250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Таблица!$I$4</c:f>
              <c:strCache>
                <c:ptCount val="1"/>
                <c:pt idx="0">
                  <c:v>MC</c:v>
                </c:pt>
              </c:strCache>
            </c:strRef>
          </c:tx>
          <c:cat>
            <c:numRef>
              <c:f>Таблица!$C$5:$C$19</c:f>
              <c:numCache>
                <c:formatCode>General</c:formatCode>
                <c:ptCount val="15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  <c:pt idx="9">
                  <c:v>100</c:v>
                </c:pt>
                <c:pt idx="10">
                  <c:v>110</c:v>
                </c:pt>
                <c:pt idx="11">
                  <c:v>120</c:v>
                </c:pt>
                <c:pt idx="12">
                  <c:v>130</c:v>
                </c:pt>
                <c:pt idx="13">
                  <c:v>140</c:v>
                </c:pt>
                <c:pt idx="14">
                  <c:v>150</c:v>
                </c:pt>
              </c:numCache>
            </c:numRef>
          </c:cat>
          <c:val>
            <c:numRef>
              <c:f>Таблица!$I$5:$I$19</c:f>
              <c:numCache>
                <c:formatCode>General</c:formatCode>
                <c:ptCount val="15"/>
                <c:pt idx="0">
                  <c:v>169</c:v>
                </c:pt>
                <c:pt idx="1">
                  <c:v>106</c:v>
                </c:pt>
                <c:pt idx="2">
                  <c:v>61</c:v>
                </c:pt>
                <c:pt idx="3">
                  <c:v>34</c:v>
                </c:pt>
                <c:pt idx="4">
                  <c:v>25</c:v>
                </c:pt>
                <c:pt idx="5">
                  <c:v>34</c:v>
                </c:pt>
                <c:pt idx="6">
                  <c:v>61</c:v>
                </c:pt>
                <c:pt idx="7">
                  <c:v>106</c:v>
                </c:pt>
                <c:pt idx="8">
                  <c:v>169</c:v>
                </c:pt>
                <c:pt idx="9">
                  <c:v>250</c:v>
                </c:pt>
                <c:pt idx="10">
                  <c:v>349</c:v>
                </c:pt>
                <c:pt idx="11">
                  <c:v>466</c:v>
                </c:pt>
                <c:pt idx="12">
                  <c:v>601</c:v>
                </c:pt>
                <c:pt idx="13">
                  <c:v>754</c:v>
                </c:pt>
                <c:pt idx="14">
                  <c:v>925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1938432"/>
        <c:axId val="241940352"/>
      </c:lineChart>
      <c:catAx>
        <c:axId val="241938432"/>
        <c:scaling>
          <c:orientation val="minMax"/>
        </c:scaling>
        <c:delete val="0"/>
        <c:axPos val="b"/>
        <c:minorGridlines>
          <c:spPr>
            <a:ln>
              <a:noFill/>
            </a:ln>
          </c:spPr>
        </c:minorGridlines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Q</a:t>
                </a:r>
              </a:p>
            </c:rich>
          </c:tx>
          <c:layout>
            <c:manualLayout>
              <c:xMode val="edge"/>
              <c:yMode val="edge"/>
              <c:x val="0.91615485564304466"/>
              <c:y val="0.940062761506276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41940352"/>
        <c:crosses val="autoZero"/>
        <c:auto val="1"/>
        <c:lblAlgn val="ctr"/>
        <c:lblOffset val="100"/>
        <c:noMultiLvlLbl val="0"/>
      </c:catAx>
      <c:valAx>
        <c:axId val="241940352"/>
        <c:scaling>
          <c:orientation val="minMax"/>
          <c:max val="950"/>
          <c:min val="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ru-RU" sz="1200"/>
                  <a:t>Затраты</a:t>
                </a:r>
              </a:p>
            </c:rich>
          </c:tx>
          <c:layout>
            <c:manualLayout>
              <c:xMode val="edge"/>
              <c:yMode val="edge"/>
              <c:x val="9.562841530054645E-3"/>
              <c:y val="5.0377392679471542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241938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0.52914</cdr:x>
      <cdr:y>0.721</cdr:y>
    </cdr:from>
    <cdr:to>
      <cdr:x>0.52914</cdr:x>
      <cdr:y>0.84652</cdr:y>
    </cdr:to>
    <cdr:cxnSp macro="">
      <cdr:nvCxnSpPr>
        <cdr:cNvPr id="5" name="Прямая соединительная линия 4"/>
        <cdr:cNvCxnSpPr/>
      </cdr:nvCxnSpPr>
      <cdr:spPr>
        <a:xfrm xmlns:a="http://schemas.openxmlformats.org/drawingml/2006/main" flipV="1">
          <a:off x="3143316" y="2796461"/>
          <a:ext cx="0" cy="48684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ysClr val="windowText" lastClr="000000"/>
          </a:solidFill>
          <a:prstDash val="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0.47141</cdr:x>
      <cdr:y>0.63083</cdr:y>
    </cdr:from>
    <cdr:to>
      <cdr:x>0.58224</cdr:x>
      <cdr:y>0.69253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800350" y="2446724"/>
          <a:ext cx="658403" cy="239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/>
            <a:t>minATC</a:t>
          </a:r>
          <a:endParaRPr lang="ru-RU" sz="1100" b="1"/>
        </a:p>
      </cdr:txBody>
    </cdr:sp>
  </cdr:relSizeAnchor>
  <cdr:relSizeAnchor xmlns:cdr="http://schemas.openxmlformats.org/drawingml/2006/chartDrawing">
    <cdr:from>
      <cdr:x>0.52485</cdr:x>
      <cdr:y>0.71185</cdr:y>
    </cdr:from>
    <cdr:to>
      <cdr:x>0.53255</cdr:x>
      <cdr:y>0.72364</cdr:y>
    </cdr:to>
    <cdr:sp macro="" textlink="">
      <cdr:nvSpPr>
        <cdr:cNvPr id="8" name="Овал 7"/>
        <cdr:cNvSpPr/>
      </cdr:nvSpPr>
      <cdr:spPr>
        <a:xfrm xmlns:a="http://schemas.openxmlformats.org/drawingml/2006/main" flipH="1">
          <a:off x="3117850" y="2760981"/>
          <a:ext cx="45719" cy="45719"/>
        </a:xfrm>
        <a:prstGeom xmlns:a="http://schemas.openxmlformats.org/drawingml/2006/main" prst="ellipse">
          <a:avLst/>
        </a:prstGeom>
        <a:solidFill xmlns:a="http://schemas.openxmlformats.org/drawingml/2006/main">
          <a:schemeClr val="tx1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Грибанова</dc:creator>
  <cp:keywords/>
  <dc:description/>
  <cp:lastModifiedBy>Евгения Грибанова</cp:lastModifiedBy>
  <cp:revision>4</cp:revision>
  <dcterms:created xsi:type="dcterms:W3CDTF">2023-04-05T14:52:00Z</dcterms:created>
  <dcterms:modified xsi:type="dcterms:W3CDTF">2023-04-06T05:23:00Z</dcterms:modified>
</cp:coreProperties>
</file>